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opLinePunct/>
        <w:spacing w:after="100" w:afterAutospacing="1" w:line="40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全国行业好新闻大赛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新闻摄影参评作品推荐表</w:t>
      </w:r>
    </w:p>
    <w:tbl>
      <w:tblPr>
        <w:tblStyle w:val="4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917"/>
        <w:gridCol w:w="339"/>
        <w:gridCol w:w="791"/>
        <w:gridCol w:w="780"/>
        <w:gridCol w:w="1418"/>
        <w:gridCol w:w="1244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标题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4"/>
              <w:tblW w:w="1009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3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94" w:hRule="atLeast"/>
                <w:jc w:val="center"/>
              </w:trPr>
              <w:tc>
                <w:tcPr>
                  <w:tcW w:w="6238" w:type="dxa"/>
                  <w:tcBorders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topLinePunct/>
                    <w:ind w:firstLine="420" w:firstLineChars="200"/>
                    <w:jc w:val="center"/>
                    <w:rPr>
                      <w:rFonts w:hint="eastAsia" w:ascii="仿宋" w:hAnsi="仿宋" w:eastAsia="仿宋"/>
                      <w:color w:val="00000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Cs w:val="21"/>
                      <w:lang w:eastAsia="zh-CN"/>
                    </w:rPr>
                    <w:t>“</w:t>
                  </w:r>
                  <w:r>
                    <w:rPr>
                      <w:rFonts w:hint="eastAsia" w:ascii="仿宋" w:hAnsi="仿宋" w:eastAsia="仿宋"/>
                      <w:color w:val="000000"/>
                      <w:szCs w:val="21"/>
                      <w:lang w:val="en-US" w:eastAsia="zh-CN"/>
                    </w:rPr>
                    <w:t>信号升格</w:t>
                  </w:r>
                  <w:r>
                    <w:rPr>
                      <w:rFonts w:hint="eastAsia" w:ascii="仿宋" w:hAnsi="仿宋" w:eastAsia="仿宋"/>
                      <w:color w:val="000000"/>
                      <w:szCs w:val="21"/>
                      <w:lang w:eastAsia="zh-CN"/>
                    </w:rPr>
                    <w:t>”</w:t>
                  </w:r>
                  <w:r>
                    <w:rPr>
                      <w:rFonts w:hint="eastAsia" w:ascii="仿宋" w:hAnsi="仿宋" w:eastAsia="仿宋"/>
                      <w:color w:val="000000"/>
                      <w:szCs w:val="21"/>
                      <w:lang w:val="en-US" w:eastAsia="zh-CN"/>
                    </w:rPr>
                    <w:t xml:space="preserve">服务泰山 </w:t>
                  </w:r>
                </w:p>
                <w:p>
                  <w:pPr>
                    <w:topLinePunct/>
                    <w:ind w:firstLine="420" w:firstLineChars="200"/>
                    <w:jc w:val="center"/>
                    <w:rPr>
                      <w:rFonts w:hint="default" w:ascii="仿宋" w:hAnsi="仿宋" w:eastAsia="仿宋"/>
                      <w:color w:val="00000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Cs w:val="21"/>
                      <w:lang w:val="en-US" w:eastAsia="zh-CN"/>
                    </w:rPr>
                    <w:t>游客共赏“绝美日出”</w:t>
                  </w:r>
                </w:p>
              </w:tc>
            </w:tr>
          </w:tbl>
          <w:p>
            <w:pPr>
              <w:topLinePunct/>
              <w:spacing w:line="380" w:lineRule="exact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作品类别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480" w:firstLineChars="20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新闻摄影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u w:val="single"/>
                <w:lang w:val="en-US" w:eastAsia="zh-CN"/>
              </w:rPr>
              <w:t>单幅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类</w:t>
            </w:r>
          </w:p>
          <w:p>
            <w:pPr>
              <w:topLinePunct/>
              <w:spacing w:line="320" w:lineRule="exact"/>
              <w:ind w:firstLine="480" w:firstLineChars="200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（单幅/组照/国际传播）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作者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5"/>
              <w:tblpPr w:leftFromText="180" w:rightFromText="180" w:vertAnchor="text" w:horzAnchor="page" w:tblpX="1471" w:tblpY="154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7" w:hRule="atLeast"/>
              </w:trPr>
              <w:tc>
                <w:tcPr>
                  <w:tcW w:w="900" w:type="dxa"/>
                </w:tcPr>
                <w:p>
                  <w:pPr>
                    <w:topLinePunct/>
                    <w:jc w:val="center"/>
                    <w:rPr>
                      <w:rFonts w:hint="eastAsia" w:ascii="仿宋" w:hAnsi="仿宋" w:eastAsia="仿宋"/>
                      <w:color w:val="00000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Cs w:val="21"/>
                      <w:lang w:val="en-US" w:eastAsia="zh-CN"/>
                    </w:rPr>
                    <w:t>乔云生</w:t>
                  </w:r>
                </w:p>
              </w:tc>
            </w:tr>
          </w:tbl>
          <w:p>
            <w:pPr>
              <w:topLinePunct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编辑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刘金良 杨子怡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原创单位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山东移动泰安分公司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刊播单位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《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人民邮电》报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刊播版面</w:t>
            </w:r>
          </w:p>
          <w:p>
            <w:pPr>
              <w:widowControl/>
              <w:topLinePunct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pacing w:val="-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sz w:val="24"/>
              </w:rPr>
              <w:t>(名称及版次)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40" w:afterAutospacing="0" w:line="14" w:lineRule="atLeast"/>
              <w:ind w:left="0" w:right="0" w:firstLine="0"/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《人民邮电》报8419期1版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刊播日期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2024年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9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widowControl/>
              <w:topLinePunct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  <w:t>新媒体</w:t>
            </w:r>
          </w:p>
          <w:p>
            <w:pPr>
              <w:widowControl/>
              <w:topLinePunct/>
              <w:snapToGrid w:val="0"/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  <w:t>作品网址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jc w:val="lef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https://www.cnii.com.cn/gxxww/rmydb/202409/t20240912_600862.html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385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所配合的文字报道的标题</w:t>
            </w:r>
          </w:p>
        </w:tc>
        <w:tc>
          <w:tcPr>
            <w:tcW w:w="623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ind w:firstLine="420" w:firstLineChars="200"/>
              <w:jc w:val="lef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“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信号升格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”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服务泰山 游客共赏“绝美日出”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topLinePunct/>
              <w:spacing w:line="38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︵</w:t>
            </w:r>
          </w:p>
          <w:p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作采</w:t>
            </w:r>
          </w:p>
          <w:p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品编</w:t>
            </w:r>
          </w:p>
          <w:p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简过</w:t>
            </w:r>
          </w:p>
          <w:p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介程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︶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ind w:firstLine="420" w:firstLineChars="200"/>
              <w:jc w:val="left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2024年初，工信部联合十一部门印发《关于开展“信号升格”专项行动的通知》，提出将实现移动网络（4G和5G）信号显著增强，移动用户端到端业务感知明显提升，为广大用户提供信号好、体验优、能力强的高品质网络服务。</w:t>
            </w:r>
          </w:p>
          <w:p>
            <w:pPr>
              <w:topLinePunct/>
              <w:ind w:firstLine="420" w:firstLineChars="200"/>
              <w:jc w:val="lef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作为全国知名旅游景点，泰山吸引了众多游客前来打卡。记者快速捕捉新闻点，联络山东泰安移动的通信建设者，了解“信号升格”行动在泰山景区的实施情况。</w:t>
            </w:r>
          </w:p>
          <w:p>
            <w:pPr>
              <w:topLinePunct/>
              <w:ind w:firstLine="420" w:firstLineChars="200"/>
              <w:jc w:val="lef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凌晨，记者与摄影师一起登上泰山山顶，与百名游客等待日出。山顶5G信号满格，游客使用5G网络与家人朋友分享日出瞬间，直播间的画面流畅无卡顿。记者与摄影师迅速捕捉到日出时分的这一画面，展现移动互联网时代5G信号服务千家万户的责任与担当。</w:t>
            </w:r>
          </w:p>
          <w:p>
            <w:pPr>
              <w:topLinePunct/>
              <w:ind w:firstLine="420" w:firstLineChars="200"/>
              <w:jc w:val="left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8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社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会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效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果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ind w:firstLine="420" w:firstLineChars="200"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该图片新闻刊发于《人民邮电》报2024年9月12日一版，引发行业内广泛关注。同时，该幅图片是泰安市摄影作品首次入选第29届全国摄影艺术展览评选“国展”，还在山东省文联、泰安摄影家协会等媒体上刊发，</w:t>
            </w:r>
            <w: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  <w:t>引发古今同框看山河话题热议，单日传播量突破万次。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9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推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荐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理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由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topLinePunct/>
              <w:spacing w:line="360" w:lineRule="exact"/>
              <w:ind w:firstLine="720" w:firstLineChars="200"/>
              <w:jc w:val="both"/>
              <w:rPr>
                <w:rFonts w:hint="eastAsia" w:ascii="仿宋" w:hAnsi="仿宋" w:eastAsia="仿宋"/>
                <w:color w:val="000000"/>
                <w:sz w:val="36"/>
                <w:szCs w:val="36"/>
                <w:lang w:val="en-US" w:eastAsia="zh-CN"/>
              </w:rPr>
            </w:pPr>
          </w:p>
          <w:p>
            <w:pPr>
              <w:wordWrap w:val="0"/>
              <w:topLinePunct/>
              <w:spacing w:line="360" w:lineRule="exact"/>
              <w:ind w:firstLine="720" w:firstLineChars="200"/>
              <w:jc w:val="both"/>
              <w:rPr>
                <w:rFonts w:hint="eastAsia" w:ascii="仿宋" w:hAnsi="仿宋" w:eastAsia="仿宋"/>
                <w:color w:val="000000"/>
                <w:sz w:val="36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6"/>
                <w:szCs w:val="36"/>
                <w:lang w:val="en-US" w:eastAsia="zh-CN"/>
              </w:rPr>
              <w:t xml:space="preserve">同意推荐。                </w:t>
            </w:r>
          </w:p>
          <w:p>
            <w:pPr>
              <w:wordWrap w:val="0"/>
              <w:topLinePunct/>
              <w:spacing w:line="360" w:lineRule="exact"/>
              <w:ind w:firstLine="5520" w:firstLineChars="2000"/>
              <w:jc w:val="both"/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  <w:lang w:val="en-US" w:eastAsia="zh-CN"/>
              </w:rPr>
              <w:t xml:space="preserve"> </w:t>
            </w:r>
          </w:p>
          <w:p>
            <w:pPr>
              <w:wordWrap w:val="0"/>
              <w:topLinePunct/>
              <w:spacing w:line="360" w:lineRule="exact"/>
              <w:ind w:firstLine="552" w:firstLineChars="200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>
            <w:pPr>
              <w:widowControl/>
              <w:topLinePunct/>
              <w:ind w:firstLine="560" w:firstLineChars="200"/>
              <w:jc w:val="righ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202</w:t>
            </w:r>
            <w:r>
              <w:rPr>
                <w:rFonts w:ascii="华文中宋" w:hAnsi="华文中宋" w:eastAsia="华文中宋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12</w:t>
            </w:r>
            <w:bookmarkStart w:id="0" w:name="_GoBack"/>
            <w:bookmarkEnd w:id="0"/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联系人</w:t>
            </w:r>
          </w:p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（作者）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杨子怡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17319192820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17319192820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电子邮箱</w:t>
            </w:r>
          </w:p>
        </w:tc>
        <w:tc>
          <w:tcPr>
            <w:tcW w:w="52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yangziyi_1997@163.com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北京市朝阳区安苑路11号人民邮电报社</w:t>
            </w:r>
          </w:p>
        </w:tc>
      </w:tr>
    </w:tbl>
    <w:p>
      <w:r>
        <w:rPr>
          <w:rFonts w:hint="eastAsia" w:ascii="楷体" w:hAnsi="楷体" w:eastAsia="楷体"/>
          <w:sz w:val="28"/>
          <w:szCs w:val="28"/>
        </w:rPr>
        <w:t>此表可从</w:t>
      </w:r>
      <w:r>
        <w:rPr>
          <w:rFonts w:hint="eastAsia" w:ascii="楷体" w:hAnsi="楷体" w:eastAsia="楷体"/>
          <w:bCs/>
          <w:kern w:val="0"/>
          <w:sz w:val="28"/>
          <w:szCs w:val="28"/>
        </w:rPr>
        <w:t>中国行业报协会网站</w:t>
      </w:r>
      <w:r>
        <w:rPr>
          <w:rFonts w:ascii="楷体" w:hAnsi="楷体" w:eastAsia="楷体"/>
          <w:bCs/>
          <w:kern w:val="0"/>
          <w:sz w:val="28"/>
          <w:szCs w:val="28"/>
        </w:rPr>
        <w:t>https://acin.org.cn/</w:t>
      </w:r>
      <w:r>
        <w:rPr>
          <w:rFonts w:hint="eastAsia" w:ascii="楷体" w:hAnsi="楷体" w:eastAsia="楷体"/>
          <w:bCs/>
          <w:kern w:val="0"/>
          <w:sz w:val="28"/>
          <w:szCs w:val="28"/>
        </w:rPr>
        <w:t>下载。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E0F14"/>
    <w:rsid w:val="01761AD9"/>
    <w:rsid w:val="03AB3756"/>
    <w:rsid w:val="04984319"/>
    <w:rsid w:val="253F05F2"/>
    <w:rsid w:val="3A324C53"/>
    <w:rsid w:val="478F39F0"/>
    <w:rsid w:val="4A2469C6"/>
    <w:rsid w:val="4AB64E7F"/>
    <w:rsid w:val="570A0038"/>
    <w:rsid w:val="67172DB2"/>
    <w:rsid w:val="6E2241BB"/>
    <w:rsid w:val="736A7F45"/>
    <w:rsid w:val="768A065A"/>
    <w:rsid w:val="782E0F14"/>
    <w:rsid w:val="79D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2025-02-26T06:46:00Z</dcterms:created>
  <dc:creator>火焱</dc:creator>
  <cp:lastModifiedBy>jiangli</cp:lastModifiedBy>
  <cp:lastPrinted>2025-03-12T08:56:58Z</cp:lastPrinted>
  <dcterms:modified xsi:type="dcterms:W3CDTF">2025-03-12T09:04:56Z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E184994B1F0A4CC9B228A8ECF517AE2E</vt:lpwstr>
  </property>
  <property fmtid="{D5CDD505-2E9C-101B-9397-08002B2CF9AE}" pid="4" name="KSOTemplateDocerSaveRecord">
    <vt:lpwstr>eyJoZGlkIjoiMzNmNzU2YzY1NWY5MDVkMzA0ZDUwNDlkMTA5MTgzZGQiLCJ1c2VySWQiOiI1NDk5OTUyNzYifQ==</vt:lpwstr>
  </property>
</Properties>
</file>